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0D" w:rsidRPr="008A1D77" w:rsidRDefault="000B210D" w:rsidP="000B210D">
      <w:pPr>
        <w:jc w:val="right"/>
        <w:rPr>
          <w:b/>
          <w:bCs/>
          <w:sz w:val="18"/>
          <w:szCs w:val="18"/>
        </w:rPr>
      </w:pPr>
      <w:r w:rsidRPr="008A1D77">
        <w:rPr>
          <w:color w:val="000000"/>
          <w:sz w:val="18"/>
          <w:szCs w:val="18"/>
        </w:rPr>
        <w:t xml:space="preserve"> </w:t>
      </w:r>
      <w:r w:rsidRPr="008A1D77">
        <w:rPr>
          <w:b/>
          <w:bCs/>
          <w:sz w:val="18"/>
          <w:szCs w:val="18"/>
        </w:rPr>
        <w:t xml:space="preserve"> </w:t>
      </w:r>
      <w:bookmarkStart w:id="0" w:name="_Hlk498605822"/>
      <w:r w:rsidRPr="008A1D77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8A1D77">
        <w:rPr>
          <w:sz w:val="18"/>
          <w:szCs w:val="18"/>
          <w:lang w:val="en-US"/>
        </w:rPr>
        <w:t xml:space="preserve"> to ITT</w:t>
      </w:r>
      <w:r>
        <w:rPr>
          <w:sz w:val="18"/>
          <w:szCs w:val="18"/>
          <w:lang w:val="en-US"/>
        </w:rPr>
        <w:t>_</w:t>
      </w:r>
      <w:r w:rsidRPr="008A1D77"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730_652_Drilling equipment</w:t>
      </w:r>
    </w:p>
    <w:p w:rsidR="000B210D" w:rsidRPr="00B02C78" w:rsidRDefault="000B210D" w:rsidP="000B210D">
      <w:pPr>
        <w:pStyle w:val="Heading6"/>
        <w:jc w:val="right"/>
        <w:rPr>
          <w:sz w:val="18"/>
          <w:szCs w:val="18"/>
          <w:lang w:val="en-GB"/>
        </w:rPr>
      </w:pPr>
    </w:p>
    <w:p w:rsidR="000B210D" w:rsidRPr="008A1D77" w:rsidRDefault="000B210D" w:rsidP="000B210D">
      <w:pPr>
        <w:pStyle w:val="Heading6"/>
        <w:rPr>
          <w:sz w:val="18"/>
          <w:szCs w:val="18"/>
        </w:rPr>
      </w:pPr>
      <w:r w:rsidRPr="008A1D77">
        <w:rPr>
          <w:sz w:val="18"/>
          <w:szCs w:val="18"/>
        </w:rPr>
        <w:t>Bid Submission Form</w:t>
      </w:r>
    </w:p>
    <w:p w:rsidR="000B210D" w:rsidRPr="008A1D77" w:rsidRDefault="000B210D" w:rsidP="000B210D">
      <w:pPr>
        <w:jc w:val="center"/>
        <w:rPr>
          <w:sz w:val="18"/>
          <w:szCs w:val="18"/>
          <w:lang w:val="en-US"/>
        </w:rPr>
      </w:pPr>
    </w:p>
    <w:p w:rsidR="000B210D" w:rsidRPr="008A1D77" w:rsidRDefault="000B210D" w:rsidP="000B210D">
      <w:pPr>
        <w:jc w:val="center"/>
        <w:rPr>
          <w:sz w:val="18"/>
          <w:szCs w:val="18"/>
          <w:lang w:val="en-US"/>
        </w:rPr>
      </w:pPr>
    </w:p>
    <w:p w:rsidR="000B210D" w:rsidRPr="008A1D77" w:rsidRDefault="000B210D" w:rsidP="000B210D">
      <w:pPr>
        <w:rPr>
          <w:sz w:val="18"/>
          <w:szCs w:val="18"/>
          <w:lang w:val="en-US"/>
        </w:rPr>
      </w:pPr>
      <w:r w:rsidRPr="008A1D77">
        <w:rPr>
          <w:sz w:val="18"/>
          <w:szCs w:val="18"/>
          <w:lang w:val="en-US"/>
        </w:rPr>
        <w:t>Company/Name__________________________</w:t>
      </w:r>
    </w:p>
    <w:p w:rsidR="000B210D" w:rsidRPr="008A1D77" w:rsidRDefault="000B210D" w:rsidP="000B210D">
      <w:pPr>
        <w:jc w:val="center"/>
        <w:rPr>
          <w:sz w:val="18"/>
          <w:szCs w:val="18"/>
          <w:lang w:val="en-US"/>
        </w:rPr>
      </w:pPr>
    </w:p>
    <w:p w:rsidR="000B210D" w:rsidRPr="008A1D77" w:rsidRDefault="000B210D" w:rsidP="000B210D">
      <w:pPr>
        <w:rPr>
          <w:sz w:val="18"/>
          <w:szCs w:val="18"/>
        </w:rPr>
      </w:pPr>
      <w:r w:rsidRPr="008A1D77">
        <w:rPr>
          <w:b/>
          <w:bCs/>
          <w:sz w:val="18"/>
          <w:szCs w:val="18"/>
          <w:lang w:val="en-US"/>
        </w:rPr>
        <w:t xml:space="preserve">Tender Reference:  </w:t>
      </w:r>
      <w:r w:rsidRPr="008A1D77">
        <w:rPr>
          <w:sz w:val="18"/>
          <w:szCs w:val="18"/>
          <w:lang w:val="en-US"/>
        </w:rPr>
        <w:t>DRF</w:t>
      </w:r>
      <w:r w:rsidRPr="00B02C78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730_652_Drilling equipment</w:t>
      </w:r>
    </w:p>
    <w:p w:rsidR="000B210D" w:rsidRPr="008A1D77" w:rsidRDefault="000B210D" w:rsidP="000B210D">
      <w:pPr>
        <w:rPr>
          <w:sz w:val="18"/>
          <w:szCs w:val="18"/>
          <w:lang w:val="en-US"/>
        </w:rPr>
      </w:pPr>
    </w:p>
    <w:p w:rsidR="000B210D" w:rsidRPr="008A1D77" w:rsidRDefault="000B210D" w:rsidP="000B210D">
      <w:pPr>
        <w:rPr>
          <w:sz w:val="18"/>
          <w:szCs w:val="18"/>
          <w:lang w:val="en-US"/>
        </w:rPr>
      </w:pPr>
      <w:r w:rsidRPr="008A1D77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 2019</w:t>
      </w:r>
    </w:p>
    <w:p w:rsidR="000B210D" w:rsidRPr="008A1D77" w:rsidRDefault="000B210D" w:rsidP="000B210D">
      <w:pPr>
        <w:rPr>
          <w:sz w:val="18"/>
          <w:szCs w:val="18"/>
          <w:lang w:val="en-US"/>
        </w:rPr>
      </w:pPr>
    </w:p>
    <w:p w:rsidR="000B210D" w:rsidRPr="008A1D77" w:rsidRDefault="000B210D" w:rsidP="000B210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0B210D" w:rsidRPr="008A1D77" w:rsidTr="00FE340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D" w:rsidRPr="008A1D77" w:rsidRDefault="000B210D" w:rsidP="00FE340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0B210D" w:rsidRPr="008A1D77" w:rsidTr="00FE340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B210D" w:rsidRPr="008A1D77" w:rsidRDefault="000B210D" w:rsidP="00FE3407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  <w:lang w:val="en-GB"/>
              </w:rPr>
              <w:t xml:space="preserve">General Information </w:t>
            </w:r>
            <w:r w:rsidRPr="008A1D77">
              <w:rPr>
                <w:sz w:val="18"/>
                <w:szCs w:val="18"/>
              </w:rPr>
              <w:t>about Bidder</w:t>
            </w: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8A1D77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8A1D77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8A1D77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8A1D77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8A1D77">
              <w:rPr>
                <w:sz w:val="18"/>
                <w:szCs w:val="18"/>
              </w:rPr>
              <w:t>staff</w:t>
            </w:r>
            <w:proofErr w:type="gramEnd"/>
            <w:r w:rsidRPr="008A1D77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Tax Registration Number of Company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478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B210D" w:rsidRPr="008A1D77" w:rsidRDefault="000B210D" w:rsidP="000B210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0B210D" w:rsidRPr="008A1D77" w:rsidTr="00FE340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D" w:rsidRPr="008A1D77" w:rsidRDefault="000B210D" w:rsidP="00FE340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0B210D" w:rsidRPr="008A1D77" w:rsidTr="00FE340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B210D" w:rsidRPr="008A1D77" w:rsidRDefault="000B210D" w:rsidP="00FE3407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8A1D77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0B210D" w:rsidRPr="008A1D77" w:rsidTr="00FE3407">
        <w:trPr>
          <w:cantSplit/>
        </w:trPr>
        <w:tc>
          <w:tcPr>
            <w:tcW w:w="9571" w:type="dxa"/>
            <w:gridSpan w:val="2"/>
          </w:tcPr>
          <w:p w:rsidR="000B210D" w:rsidRPr="008A1D77" w:rsidRDefault="000B210D" w:rsidP="00FE3407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Specify company’s type:</w:t>
            </w:r>
          </w:p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586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586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B210D" w:rsidRPr="008A1D77" w:rsidTr="00FE3407">
        <w:tc>
          <w:tcPr>
            <w:tcW w:w="5868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0B210D" w:rsidRPr="008A1D77" w:rsidRDefault="000B210D" w:rsidP="00FE340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B210D" w:rsidRPr="008A1D77" w:rsidRDefault="000B210D" w:rsidP="000B210D">
      <w:pPr>
        <w:rPr>
          <w:sz w:val="18"/>
          <w:szCs w:val="18"/>
        </w:rPr>
      </w:pPr>
      <w:bookmarkStart w:id="1" w:name="OLE_LINK11"/>
    </w:p>
    <w:p w:rsidR="000B210D" w:rsidRPr="008A1D77" w:rsidRDefault="000B210D" w:rsidP="000B210D">
      <w:pPr>
        <w:ind w:left="720"/>
        <w:rPr>
          <w:bCs/>
          <w:sz w:val="18"/>
          <w:szCs w:val="18"/>
        </w:rPr>
      </w:pPr>
      <w:r w:rsidRPr="008A1D77">
        <w:rPr>
          <w:bCs/>
          <w:sz w:val="18"/>
          <w:szCs w:val="18"/>
        </w:rPr>
        <w:t>*The individuals to fill up only asterisk marked lines.</w:t>
      </w:r>
    </w:p>
    <w:p w:rsidR="000B210D" w:rsidRPr="008A1D77" w:rsidRDefault="000B210D" w:rsidP="000B210D">
      <w:pPr>
        <w:rPr>
          <w:sz w:val="18"/>
          <w:szCs w:val="18"/>
        </w:rPr>
      </w:pPr>
    </w:p>
    <w:p w:rsidR="000B210D" w:rsidRPr="008A1D77" w:rsidRDefault="000B210D" w:rsidP="000B210D">
      <w:pPr>
        <w:rPr>
          <w:sz w:val="18"/>
          <w:szCs w:val="18"/>
        </w:rPr>
      </w:pPr>
    </w:p>
    <w:p w:rsidR="000B210D" w:rsidRPr="008A1D77" w:rsidRDefault="000B210D" w:rsidP="000B210D">
      <w:pPr>
        <w:rPr>
          <w:sz w:val="18"/>
          <w:szCs w:val="18"/>
        </w:rPr>
      </w:pPr>
    </w:p>
    <w:p w:rsidR="000B210D" w:rsidRPr="008A1D77" w:rsidRDefault="000B210D" w:rsidP="000B210D">
      <w:pPr>
        <w:rPr>
          <w:sz w:val="18"/>
          <w:szCs w:val="18"/>
        </w:rPr>
      </w:pPr>
    </w:p>
    <w:p w:rsidR="000B210D" w:rsidRDefault="000B210D" w:rsidP="000B210D">
      <w:pPr>
        <w:rPr>
          <w:sz w:val="18"/>
          <w:szCs w:val="18"/>
        </w:rPr>
      </w:pPr>
    </w:p>
    <w:p w:rsidR="000B210D" w:rsidRPr="008A1D77" w:rsidRDefault="000B210D" w:rsidP="000B210D">
      <w:pPr>
        <w:rPr>
          <w:sz w:val="18"/>
          <w:szCs w:val="18"/>
        </w:rPr>
      </w:pPr>
    </w:p>
    <w:p w:rsidR="000B210D" w:rsidRDefault="000B210D" w:rsidP="000B210D">
      <w:pPr>
        <w:jc w:val="center"/>
        <w:rPr>
          <w:b/>
          <w:bCs/>
          <w:sz w:val="18"/>
          <w:szCs w:val="18"/>
          <w:lang w:val="en-US"/>
        </w:rPr>
      </w:pPr>
      <w:r w:rsidRPr="008A1D77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0B210D" w:rsidRDefault="000B210D" w:rsidP="000B210D">
      <w:pPr>
        <w:rPr>
          <w:b/>
          <w:bCs/>
          <w:sz w:val="18"/>
          <w:szCs w:val="18"/>
          <w:lang w:val="en-US"/>
        </w:rPr>
      </w:pPr>
    </w:p>
    <w:p w:rsidR="000B210D" w:rsidRDefault="000B210D" w:rsidP="000B210D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4135"/>
        <w:gridCol w:w="709"/>
        <w:gridCol w:w="709"/>
        <w:gridCol w:w="1757"/>
        <w:gridCol w:w="1701"/>
      </w:tblGrid>
      <w:tr w:rsidR="000B210D" w:rsidRPr="00A80612" w:rsidTr="00FE3407">
        <w:trPr>
          <w:trHeight w:val="20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0D" w:rsidRPr="000D2D47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0D2D47">
              <w:rPr>
                <w:rFonts w:eastAsia="Calibri"/>
                <w:b/>
                <w:bCs/>
                <w:sz w:val="18"/>
                <w:szCs w:val="18"/>
                <w:lang w:val="ru-RU"/>
              </w:rPr>
              <w:t>MM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0D" w:rsidRPr="000D2D47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0D" w:rsidRPr="000D2D47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0D" w:rsidRPr="000D2D47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0D" w:rsidRPr="0082723A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 1 EA, RUR (VAT included)</w:t>
            </w:r>
          </w:p>
        </w:tc>
        <w:tc>
          <w:tcPr>
            <w:tcW w:w="1701" w:type="dxa"/>
            <w:vAlign w:val="center"/>
          </w:tcPr>
          <w:p w:rsidR="000B210D" w:rsidRPr="0082723A" w:rsidRDefault="000B210D" w:rsidP="00FE340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 xml:space="preserve"> Lot</w:t>
            </w: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 xml:space="preserve">, RUR (VAT included) </w:t>
            </w: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1000973452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 xml:space="preserve">PREMIER 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PACKER,H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784658351,BAKER-OT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A80612" w:rsidRDefault="000B210D" w:rsidP="00FE3407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1001225931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NIPPLE,BAKER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-OT,H801952105K30,NO-GO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Default="000B210D" w:rsidP="00FE3407">
            <w:pPr>
              <w:jc w:val="center"/>
            </w:pPr>
            <w:r w:rsidRPr="00084319"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1001228950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NIPPLE,BAKER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-OT,H801950014K30,1.875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Default="000B210D" w:rsidP="00FE3407">
            <w:pPr>
              <w:jc w:val="center"/>
            </w:pPr>
            <w:r w:rsidRPr="00084319"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1001291205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NIPPLE,LANDING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,BAKER-OT,H801960007M10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Default="000B210D" w:rsidP="00FE3407">
            <w:pPr>
              <w:jc w:val="center"/>
            </w:pPr>
            <w:r w:rsidRPr="00084319"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9900047158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>PCKR LNR HANG,7X9.5/8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in,WT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563,BAKER-OT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Default="000B210D" w:rsidP="00FE3407">
            <w:pPr>
              <w:jc w:val="center"/>
            </w:pPr>
            <w:r w:rsidRPr="00084319"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0B210D" w:rsidRPr="00A3525D" w:rsidTr="00FE3407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9900047158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>PCKR LNR HANG,7X9.5/8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in,WT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563,BAKER-OT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Default="000B210D" w:rsidP="00FE3407">
            <w:pPr>
              <w:jc w:val="center"/>
            </w:pPr>
            <w:r w:rsidRPr="00084319">
              <w:rPr>
                <w:rFonts w:eastAsia="Calibri"/>
                <w:sz w:val="18"/>
                <w:szCs w:val="18"/>
                <w:lang w:val="en-US"/>
              </w:rPr>
              <w:t>ea.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0D" w:rsidRPr="00034E25" w:rsidRDefault="000B210D" w:rsidP="00FE340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B210D" w:rsidRPr="00034E25" w:rsidRDefault="000B210D" w:rsidP="00FE340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0B210D" w:rsidRDefault="000B210D" w:rsidP="000B210D">
      <w:pPr>
        <w:jc w:val="both"/>
        <w:rPr>
          <w:bCs/>
          <w:sz w:val="18"/>
          <w:szCs w:val="18"/>
          <w:lang w:val="en-US"/>
        </w:rPr>
      </w:pPr>
    </w:p>
    <w:p w:rsidR="000B210D" w:rsidRPr="0082723A" w:rsidRDefault="000B210D" w:rsidP="000B210D">
      <w:pPr>
        <w:jc w:val="both"/>
        <w:rPr>
          <w:bCs/>
          <w:sz w:val="18"/>
          <w:szCs w:val="18"/>
          <w:lang w:val="en-US"/>
        </w:rPr>
      </w:pPr>
      <w:r w:rsidRPr="0082723A">
        <w:rPr>
          <w:bCs/>
          <w:sz w:val="18"/>
          <w:szCs w:val="18"/>
          <w:lang w:val="en-US"/>
        </w:rPr>
        <w:t>The Asset</w:t>
      </w:r>
      <w:r>
        <w:rPr>
          <w:bCs/>
          <w:sz w:val="18"/>
          <w:szCs w:val="18"/>
          <w:lang w:val="en-US"/>
        </w:rPr>
        <w:t>s</w:t>
      </w:r>
      <w:r w:rsidRPr="0082723A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are</w:t>
      </w:r>
      <w:r w:rsidRPr="0082723A">
        <w:rPr>
          <w:bCs/>
          <w:sz w:val="18"/>
          <w:szCs w:val="18"/>
          <w:lang w:val="en-US"/>
        </w:rPr>
        <w:t xml:space="preserve"> being offered for sale as </w:t>
      </w:r>
      <w:r w:rsidRPr="0082723A">
        <w:rPr>
          <w:b/>
          <w:bCs/>
          <w:sz w:val="18"/>
          <w:szCs w:val="18"/>
          <w:lang w:val="en-US"/>
        </w:rPr>
        <w:t>1 (one) Lot without reserve price.</w:t>
      </w:r>
    </w:p>
    <w:bookmarkEnd w:id="1"/>
    <w:p w:rsidR="000B210D" w:rsidRPr="0082723A" w:rsidRDefault="000B210D" w:rsidP="000B210D">
      <w:pPr>
        <w:rPr>
          <w:sz w:val="18"/>
          <w:szCs w:val="18"/>
          <w:lang w:val="en-US"/>
        </w:rPr>
      </w:pPr>
    </w:p>
    <w:p w:rsidR="000B210D" w:rsidRPr="00A80612" w:rsidRDefault="000B210D" w:rsidP="000B210D">
      <w:pPr>
        <w:rPr>
          <w:sz w:val="18"/>
          <w:szCs w:val="18"/>
          <w:lang w:val="en-US"/>
        </w:rPr>
      </w:pPr>
      <w:r w:rsidRPr="00A80612">
        <w:rPr>
          <w:b/>
          <w:sz w:val="18"/>
          <w:szCs w:val="18"/>
        </w:rPr>
        <w:t>*</w:t>
      </w:r>
      <w:r w:rsidRPr="00A80612">
        <w:rPr>
          <w:sz w:val="18"/>
          <w:szCs w:val="18"/>
        </w:rPr>
        <w:t xml:space="preserve"> In spite of the fact that the Assets </w:t>
      </w:r>
      <w:r w:rsidRPr="00A80612">
        <w:rPr>
          <w:sz w:val="18"/>
          <w:szCs w:val="18"/>
          <w:lang w:val="en-US"/>
        </w:rPr>
        <w:t xml:space="preserve">are being offered for sale as one lot, it is mandatory to point out in commercial proposal offered price for one item in the lot. </w:t>
      </w:r>
      <w:r w:rsidRPr="00A80612">
        <w:rPr>
          <w:rStyle w:val="hps"/>
          <w:sz w:val="18"/>
          <w:szCs w:val="18"/>
        </w:rPr>
        <w:t>In the event that</w:t>
      </w:r>
      <w:r w:rsidRPr="00A80612">
        <w:rPr>
          <w:rStyle w:val="longtext"/>
          <w:sz w:val="18"/>
          <w:szCs w:val="18"/>
        </w:rPr>
        <w:t xml:space="preserve"> unit </w:t>
      </w:r>
      <w:r w:rsidRPr="00A80612">
        <w:rPr>
          <w:rStyle w:val="hps"/>
          <w:sz w:val="18"/>
          <w:szCs w:val="18"/>
        </w:rPr>
        <w:t>quantities within the lot are changed, for any reason, by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the time of sale</w:t>
      </w:r>
      <w:r w:rsidRPr="00A80612">
        <w:rPr>
          <w:rStyle w:val="longtext"/>
          <w:sz w:val="18"/>
          <w:szCs w:val="18"/>
        </w:rPr>
        <w:t xml:space="preserve">, the total price of </w:t>
      </w:r>
      <w:r w:rsidRPr="00A80612">
        <w:rPr>
          <w:rStyle w:val="hps"/>
          <w:sz w:val="18"/>
          <w:szCs w:val="18"/>
        </w:rPr>
        <w:t>the lot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will be recalculated proportionally</w:t>
      </w:r>
    </w:p>
    <w:p w:rsidR="00D072EE" w:rsidRPr="000B210D" w:rsidRDefault="00D072EE" w:rsidP="000B210D">
      <w:bookmarkStart w:id="2" w:name="_GoBack"/>
      <w:bookmarkEnd w:id="0"/>
      <w:bookmarkEnd w:id="2"/>
    </w:p>
    <w:sectPr w:rsidR="00D072EE" w:rsidRPr="000B21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8B" w:rsidRDefault="00C9648B" w:rsidP="00EB57B6">
      <w:r>
        <w:separator/>
      </w:r>
    </w:p>
  </w:endnote>
  <w:endnote w:type="continuationSeparator" w:id="0">
    <w:p w:rsidR="00C9648B" w:rsidRDefault="00C9648B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D127EE" w:rsidRDefault="00EB57B6" w:rsidP="00EB57B6">
    <w:pPr>
      <w:pStyle w:val="Footer"/>
      <w:rPr>
        <w:sz w:val="18"/>
        <w:szCs w:val="18"/>
        <w:lang w:val="en-US"/>
      </w:rPr>
    </w:pPr>
    <w:r w:rsidRPr="00D127EE">
      <w:rPr>
        <w:b/>
        <w:sz w:val="18"/>
        <w:szCs w:val="18"/>
      </w:rPr>
      <w:t>ITT</w:t>
    </w:r>
    <w:r w:rsidRPr="00D127EE">
      <w:rPr>
        <w:sz w:val="18"/>
        <w:szCs w:val="18"/>
      </w:rPr>
      <w:t xml:space="preserve"> </w:t>
    </w:r>
    <w:r w:rsidRPr="00D127EE">
      <w:rPr>
        <w:b/>
        <w:sz w:val="18"/>
        <w:szCs w:val="18"/>
      </w:rPr>
      <w:t>DRF_</w:t>
    </w:r>
    <w:r w:rsidR="00D072EE">
      <w:rPr>
        <w:b/>
        <w:sz w:val="18"/>
        <w:szCs w:val="18"/>
      </w:rPr>
      <w:t>73</w:t>
    </w:r>
    <w:r w:rsidR="00BB448D">
      <w:rPr>
        <w:b/>
        <w:sz w:val="18"/>
        <w:szCs w:val="18"/>
      </w:rPr>
      <w:t>0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8B" w:rsidRDefault="00C9648B" w:rsidP="00EB57B6">
      <w:r>
        <w:separator/>
      </w:r>
    </w:p>
  </w:footnote>
  <w:footnote w:type="continuationSeparator" w:id="0">
    <w:p w:rsidR="00C9648B" w:rsidRDefault="00C9648B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B210D"/>
    <w:rsid w:val="000D6051"/>
    <w:rsid w:val="000F1B85"/>
    <w:rsid w:val="001A3892"/>
    <w:rsid w:val="002B27C0"/>
    <w:rsid w:val="002F6510"/>
    <w:rsid w:val="003C357F"/>
    <w:rsid w:val="0046230C"/>
    <w:rsid w:val="0047629C"/>
    <w:rsid w:val="004B100F"/>
    <w:rsid w:val="0050110B"/>
    <w:rsid w:val="00507B52"/>
    <w:rsid w:val="00590CC0"/>
    <w:rsid w:val="00596F40"/>
    <w:rsid w:val="006B2595"/>
    <w:rsid w:val="006E269C"/>
    <w:rsid w:val="00734946"/>
    <w:rsid w:val="00737348"/>
    <w:rsid w:val="007963D9"/>
    <w:rsid w:val="007C4FFF"/>
    <w:rsid w:val="007F7384"/>
    <w:rsid w:val="00823543"/>
    <w:rsid w:val="00854724"/>
    <w:rsid w:val="00856168"/>
    <w:rsid w:val="00871062"/>
    <w:rsid w:val="008A06A8"/>
    <w:rsid w:val="009465D3"/>
    <w:rsid w:val="0097743C"/>
    <w:rsid w:val="00A236CB"/>
    <w:rsid w:val="00AE0DB8"/>
    <w:rsid w:val="00B733E2"/>
    <w:rsid w:val="00BA7907"/>
    <w:rsid w:val="00BB448D"/>
    <w:rsid w:val="00BC3BE1"/>
    <w:rsid w:val="00C40D5E"/>
    <w:rsid w:val="00C83991"/>
    <w:rsid w:val="00C9648B"/>
    <w:rsid w:val="00CC62B3"/>
    <w:rsid w:val="00D072EE"/>
    <w:rsid w:val="00D127EE"/>
    <w:rsid w:val="00D27BEE"/>
    <w:rsid w:val="00E157C3"/>
    <w:rsid w:val="00E379C6"/>
    <w:rsid w:val="00EB57B6"/>
    <w:rsid w:val="00EC3450"/>
    <w:rsid w:val="00ED1292"/>
    <w:rsid w:val="00F13FBE"/>
    <w:rsid w:val="00F17338"/>
    <w:rsid w:val="00F45C34"/>
    <w:rsid w:val="00F7314A"/>
    <w:rsid w:val="00F90A8E"/>
    <w:rsid w:val="00F97957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E0173"/>
  <w15:docId w15:val="{998C8BDE-C584-4D08-B49B-41849E5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1630</Characters>
  <Application>Microsoft Office Word</Application>
  <DocSecurity>0</DocSecurity>
  <Lines>13</Lines>
  <Paragraphs>3</Paragraphs>
  <ScaleCrop>false</ScaleCrop>
  <Company>Shell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27</cp:revision>
  <dcterms:created xsi:type="dcterms:W3CDTF">2017-01-18T23:18:00Z</dcterms:created>
  <dcterms:modified xsi:type="dcterms:W3CDTF">2019-09-06T05:45:00Z</dcterms:modified>
</cp:coreProperties>
</file>