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1A" w:rsidRPr="005D146A" w:rsidRDefault="00872F1A" w:rsidP="00872F1A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1</w:t>
      </w:r>
      <w:r w:rsidRPr="005D146A">
        <w:rPr>
          <w:sz w:val="18"/>
          <w:szCs w:val="18"/>
          <w:lang w:val="en-US"/>
        </w:rPr>
        <w:t xml:space="preserve"> to ITT DRF</w:t>
      </w:r>
      <w:r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 xml:space="preserve">1273 </w:t>
      </w:r>
      <w:r>
        <w:rPr>
          <w:sz w:val="18"/>
          <w:szCs w:val="18"/>
          <w:lang w:val="en-US"/>
        </w:rPr>
        <w:t>Desktops</w:t>
      </w:r>
      <w:r w:rsidRPr="00EE7889">
        <w:rPr>
          <w:sz w:val="18"/>
          <w:szCs w:val="18"/>
        </w:rPr>
        <w:t xml:space="preserve"> HP Compaq Elite 8300</w:t>
      </w:r>
    </w:p>
    <w:p w:rsidR="00872F1A" w:rsidRPr="005D146A" w:rsidRDefault="00872F1A" w:rsidP="00872F1A">
      <w:pPr>
        <w:pStyle w:val="Heading6"/>
        <w:rPr>
          <w:sz w:val="18"/>
          <w:szCs w:val="18"/>
          <w:lang w:val="de-DE"/>
        </w:rPr>
      </w:pPr>
    </w:p>
    <w:p w:rsidR="00872F1A" w:rsidRPr="005D146A" w:rsidRDefault="00872F1A" w:rsidP="00872F1A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872F1A" w:rsidRPr="005D146A" w:rsidRDefault="00872F1A" w:rsidP="00872F1A">
      <w:pPr>
        <w:rPr>
          <w:sz w:val="18"/>
          <w:szCs w:val="18"/>
          <w:lang w:val="en-US"/>
        </w:rPr>
      </w:pPr>
    </w:p>
    <w:p w:rsidR="00872F1A" w:rsidRPr="005D146A" w:rsidRDefault="00872F1A" w:rsidP="00872F1A">
      <w:pPr>
        <w:jc w:val="center"/>
        <w:rPr>
          <w:sz w:val="18"/>
          <w:szCs w:val="18"/>
          <w:lang w:val="en-US"/>
        </w:rPr>
      </w:pPr>
    </w:p>
    <w:p w:rsidR="00872F1A" w:rsidRPr="005D146A" w:rsidRDefault="00872F1A" w:rsidP="00872F1A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872F1A" w:rsidRPr="005D146A" w:rsidRDefault="00872F1A" w:rsidP="00872F1A">
      <w:pPr>
        <w:jc w:val="center"/>
        <w:rPr>
          <w:sz w:val="18"/>
          <w:szCs w:val="18"/>
          <w:lang w:val="en-US"/>
        </w:rPr>
      </w:pPr>
    </w:p>
    <w:p w:rsidR="00872F1A" w:rsidRPr="005D146A" w:rsidRDefault="00872F1A" w:rsidP="00872F1A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>
        <w:rPr>
          <w:sz w:val="18"/>
          <w:szCs w:val="18"/>
        </w:rPr>
        <w:t xml:space="preserve">1273 </w:t>
      </w:r>
      <w:r>
        <w:rPr>
          <w:sz w:val="18"/>
          <w:szCs w:val="18"/>
          <w:lang w:val="en-US"/>
        </w:rPr>
        <w:t>Desktops</w:t>
      </w:r>
      <w:r w:rsidRPr="00EE7889">
        <w:rPr>
          <w:sz w:val="18"/>
          <w:szCs w:val="18"/>
        </w:rPr>
        <w:t xml:space="preserve"> HP Compaq Elite 8300</w:t>
      </w:r>
    </w:p>
    <w:p w:rsidR="00872F1A" w:rsidRPr="005D146A" w:rsidRDefault="00872F1A" w:rsidP="00872F1A">
      <w:pPr>
        <w:rPr>
          <w:sz w:val="18"/>
          <w:szCs w:val="18"/>
          <w:lang w:val="en-US"/>
        </w:rPr>
      </w:pPr>
    </w:p>
    <w:p w:rsidR="00872F1A" w:rsidRPr="005D146A" w:rsidRDefault="00872F1A" w:rsidP="00872F1A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Date: “____” ____________201</w:t>
      </w:r>
      <w:r>
        <w:rPr>
          <w:sz w:val="18"/>
          <w:szCs w:val="18"/>
          <w:lang w:val="en-US"/>
        </w:rPr>
        <w:t>9</w:t>
      </w:r>
    </w:p>
    <w:p w:rsidR="00872F1A" w:rsidRPr="005D146A" w:rsidRDefault="00872F1A" w:rsidP="00872F1A">
      <w:pPr>
        <w:rPr>
          <w:sz w:val="18"/>
          <w:szCs w:val="18"/>
          <w:lang w:val="en-US"/>
        </w:rPr>
      </w:pPr>
    </w:p>
    <w:p w:rsidR="00872F1A" w:rsidRPr="005D146A" w:rsidRDefault="00872F1A" w:rsidP="00872F1A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872F1A" w:rsidRPr="005D146A" w:rsidTr="00170157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1A" w:rsidRPr="005D146A" w:rsidRDefault="00872F1A" w:rsidP="0017015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872F1A" w:rsidRPr="005D146A" w:rsidTr="0017015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872F1A" w:rsidRPr="005D146A" w:rsidRDefault="00872F1A" w:rsidP="00170157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478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872F1A" w:rsidRPr="005D146A" w:rsidRDefault="00872F1A" w:rsidP="00872F1A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872F1A" w:rsidRPr="005D146A" w:rsidTr="00170157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1A" w:rsidRPr="005D146A" w:rsidRDefault="00872F1A" w:rsidP="0017015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872F1A" w:rsidRPr="005D146A" w:rsidTr="0017015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872F1A" w:rsidRPr="005D146A" w:rsidRDefault="00872F1A" w:rsidP="00170157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872F1A" w:rsidRPr="005D146A" w:rsidTr="00170157">
        <w:trPr>
          <w:cantSplit/>
        </w:trPr>
        <w:tc>
          <w:tcPr>
            <w:tcW w:w="9571" w:type="dxa"/>
            <w:gridSpan w:val="2"/>
          </w:tcPr>
          <w:p w:rsidR="00872F1A" w:rsidRPr="005D146A" w:rsidRDefault="00872F1A" w:rsidP="00170157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586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586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72F1A" w:rsidRPr="005D146A" w:rsidTr="00170157">
        <w:tc>
          <w:tcPr>
            <w:tcW w:w="5868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872F1A" w:rsidRPr="005D146A" w:rsidRDefault="00872F1A" w:rsidP="00170157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872F1A" w:rsidRPr="005D146A" w:rsidRDefault="00872F1A" w:rsidP="00872F1A">
      <w:pPr>
        <w:rPr>
          <w:sz w:val="18"/>
          <w:szCs w:val="18"/>
        </w:rPr>
      </w:pPr>
      <w:bookmarkStart w:id="0" w:name="OLE_LINK11"/>
    </w:p>
    <w:p w:rsidR="00872F1A" w:rsidRPr="005D146A" w:rsidRDefault="00872F1A" w:rsidP="00872F1A">
      <w:pPr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872F1A" w:rsidRPr="005D146A" w:rsidRDefault="00872F1A" w:rsidP="00872F1A">
      <w:pPr>
        <w:rPr>
          <w:sz w:val="18"/>
          <w:szCs w:val="18"/>
        </w:rPr>
      </w:pPr>
    </w:p>
    <w:p w:rsidR="00872F1A" w:rsidRDefault="00872F1A" w:rsidP="00872F1A">
      <w:pPr>
        <w:rPr>
          <w:sz w:val="18"/>
          <w:szCs w:val="18"/>
        </w:rPr>
      </w:pPr>
    </w:p>
    <w:p w:rsidR="00872F1A" w:rsidRDefault="00872F1A" w:rsidP="00872F1A">
      <w:pPr>
        <w:rPr>
          <w:sz w:val="18"/>
          <w:szCs w:val="18"/>
        </w:rPr>
      </w:pPr>
      <w:bookmarkStart w:id="1" w:name="_GoBack"/>
      <w:bookmarkEnd w:id="1"/>
    </w:p>
    <w:p w:rsidR="00872F1A" w:rsidRDefault="00872F1A" w:rsidP="00872F1A">
      <w:pPr>
        <w:rPr>
          <w:sz w:val="18"/>
          <w:szCs w:val="18"/>
        </w:rPr>
      </w:pPr>
    </w:p>
    <w:p w:rsidR="00872F1A" w:rsidRDefault="00872F1A" w:rsidP="00872F1A">
      <w:pPr>
        <w:rPr>
          <w:sz w:val="18"/>
          <w:szCs w:val="18"/>
        </w:rPr>
      </w:pPr>
    </w:p>
    <w:p w:rsidR="00872F1A" w:rsidRDefault="00872F1A" w:rsidP="00872F1A">
      <w:pPr>
        <w:rPr>
          <w:sz w:val="18"/>
          <w:szCs w:val="18"/>
        </w:rPr>
      </w:pPr>
    </w:p>
    <w:p w:rsidR="00872F1A" w:rsidRDefault="00872F1A" w:rsidP="00872F1A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872F1A" w:rsidRDefault="00872F1A" w:rsidP="00872F1A">
      <w:pPr>
        <w:jc w:val="center"/>
        <w:rPr>
          <w:b/>
          <w:bCs/>
          <w:sz w:val="18"/>
          <w:szCs w:val="18"/>
          <w:lang w:val="en-US"/>
        </w:rPr>
      </w:pPr>
    </w:p>
    <w:p w:rsidR="00872F1A" w:rsidRDefault="00872F1A" w:rsidP="00872F1A">
      <w:pPr>
        <w:jc w:val="center"/>
        <w:rPr>
          <w:b/>
          <w:bCs/>
          <w:sz w:val="18"/>
          <w:szCs w:val="18"/>
          <w:lang w:val="en-US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1"/>
        <w:gridCol w:w="842"/>
        <w:gridCol w:w="2072"/>
        <w:gridCol w:w="965"/>
        <w:gridCol w:w="832"/>
        <w:gridCol w:w="963"/>
        <w:gridCol w:w="689"/>
        <w:gridCol w:w="1657"/>
        <w:gridCol w:w="1657"/>
      </w:tblGrid>
      <w:tr w:rsidR="00872F1A" w:rsidRPr="00002424" w:rsidTr="00170157">
        <w:trPr>
          <w:trHeight w:val="340"/>
        </w:trPr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Lot</w:t>
            </w:r>
            <w:r w:rsidRPr="00002424">
              <w:rPr>
                <w:b/>
                <w:sz w:val="18"/>
                <w:szCs w:val="18"/>
                <w:lang w:val="en-US"/>
              </w:rPr>
              <w:t xml:space="preserve"> №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Box</w:t>
            </w:r>
            <w:r w:rsidRPr="00002424">
              <w:rPr>
                <w:b/>
                <w:sz w:val="18"/>
                <w:szCs w:val="18"/>
                <w:lang w:val="en-US"/>
              </w:rPr>
              <w:t xml:space="preserve"> №</w:t>
            </w:r>
          </w:p>
        </w:tc>
        <w:tc>
          <w:tcPr>
            <w:tcW w:w="101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87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Desktops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Adapters</w:t>
            </w:r>
          </w:p>
        </w:tc>
        <w:tc>
          <w:tcPr>
            <w:tcW w:w="8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price, RUR VAT included, per EA</w:t>
            </w:r>
          </w:p>
        </w:tc>
        <w:tc>
          <w:tcPr>
            <w:tcW w:w="8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price, RUR VAT in</w:t>
            </w:r>
            <w:r w:rsidRPr="009500D8">
              <w:rPr>
                <w:b/>
                <w:bCs/>
                <w:color w:val="000000"/>
                <w:sz w:val="18"/>
                <w:szCs w:val="16"/>
                <w:lang w:val="en-US"/>
              </w:rPr>
              <w:t>cluded, per Lot</w:t>
            </w:r>
          </w:p>
        </w:tc>
      </w:tr>
      <w:tr w:rsidR="00872F1A" w:rsidRPr="00002424" w:rsidTr="00170157">
        <w:trPr>
          <w:trHeight w:val="255"/>
        </w:trPr>
        <w:tc>
          <w:tcPr>
            <w:tcW w:w="2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QTY in 1 box, ea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 QTY, ea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QTY in 1 box, ea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 QTY, ea</w:t>
            </w:r>
          </w:p>
        </w:tc>
        <w:tc>
          <w:tcPr>
            <w:tcW w:w="8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091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113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114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116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117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119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122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2F1A" w:rsidRPr="00002424" w:rsidTr="00170157">
        <w:trPr>
          <w:trHeight w:val="227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123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rFonts w:eastAsia="MS Mincho"/>
                <w:sz w:val="18"/>
                <w:szCs w:val="18"/>
              </w:rPr>
              <w:t>Desktop HP COMPAQ ELITE 8300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024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0242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2F1A" w:rsidRPr="00002424" w:rsidRDefault="00872F1A" w:rsidP="00170157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</w:tr>
      <w:bookmarkEnd w:id="0"/>
    </w:tbl>
    <w:p w:rsidR="00872F1A" w:rsidRDefault="00872F1A" w:rsidP="00872F1A">
      <w:pPr>
        <w:rPr>
          <w:sz w:val="18"/>
          <w:szCs w:val="18"/>
        </w:rPr>
      </w:pPr>
    </w:p>
    <w:p w:rsidR="00872F1A" w:rsidRPr="008A1D77" w:rsidRDefault="00872F1A" w:rsidP="00872F1A">
      <w:pPr>
        <w:spacing w:after="1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200206">
        <w:rPr>
          <w:b/>
          <w:sz w:val="18"/>
          <w:szCs w:val="18"/>
          <w:lang w:val="en-US"/>
        </w:rPr>
        <w:t>Lot #1</w:t>
      </w:r>
      <w:r>
        <w:rPr>
          <w:sz w:val="18"/>
          <w:szCs w:val="18"/>
          <w:lang w:val="en-US"/>
        </w:rPr>
        <w:t xml:space="preserve"> </w:t>
      </w:r>
      <w:r w:rsidRPr="008A1D77">
        <w:rPr>
          <w:sz w:val="18"/>
          <w:szCs w:val="18"/>
          <w:lang w:val="en-US"/>
        </w:rPr>
        <w:t xml:space="preserve">must not be less than </w:t>
      </w:r>
      <w:r w:rsidRPr="00200206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143,0</w:t>
      </w:r>
      <w:r w:rsidRPr="00200206">
        <w:rPr>
          <w:b/>
          <w:sz w:val="18"/>
          <w:szCs w:val="18"/>
          <w:lang w:val="en-US"/>
        </w:rPr>
        <w:t>00.00</w:t>
      </w:r>
      <w:r>
        <w:rPr>
          <w:sz w:val="18"/>
          <w:szCs w:val="18"/>
          <w:lang w:val="en-US"/>
        </w:rPr>
        <w:t xml:space="preserve"> (VAT incl)</w:t>
      </w:r>
    </w:p>
    <w:p w:rsidR="00872F1A" w:rsidRPr="008A1D77" w:rsidRDefault="00872F1A" w:rsidP="00872F1A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200206">
        <w:rPr>
          <w:b/>
          <w:sz w:val="18"/>
          <w:szCs w:val="18"/>
          <w:lang w:val="en-US"/>
        </w:rPr>
        <w:t>Lot #2</w:t>
      </w:r>
      <w:r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166</w:t>
      </w:r>
      <w:r w:rsidRPr="00200206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6</w:t>
      </w:r>
      <w:r w:rsidRPr="00200206">
        <w:rPr>
          <w:b/>
          <w:sz w:val="18"/>
          <w:szCs w:val="18"/>
          <w:lang w:val="en-US"/>
        </w:rPr>
        <w:t>00.00</w:t>
      </w:r>
      <w:r>
        <w:rPr>
          <w:sz w:val="18"/>
          <w:szCs w:val="18"/>
          <w:lang w:val="en-US"/>
        </w:rPr>
        <w:t xml:space="preserve"> (VAT incl)</w:t>
      </w:r>
    </w:p>
    <w:p w:rsidR="00872F1A" w:rsidRDefault="00872F1A" w:rsidP="00872F1A">
      <w:pPr>
        <w:rPr>
          <w:sz w:val="18"/>
          <w:szCs w:val="18"/>
          <w:lang w:val="en-US"/>
        </w:rPr>
      </w:pPr>
    </w:p>
    <w:p w:rsidR="00872F1A" w:rsidRPr="008A1D77" w:rsidRDefault="00872F1A" w:rsidP="00872F1A">
      <w:pPr>
        <w:rPr>
          <w:sz w:val="18"/>
          <w:szCs w:val="18"/>
          <w:lang w:val="en-US"/>
        </w:rPr>
      </w:pPr>
    </w:p>
    <w:p w:rsidR="00872F1A" w:rsidRPr="000F185D" w:rsidRDefault="00872F1A" w:rsidP="00872F1A">
      <w:pPr>
        <w:jc w:val="both"/>
        <w:rPr>
          <w:rStyle w:val="hps"/>
          <w:sz w:val="18"/>
          <w:szCs w:val="18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</w:t>
      </w:r>
      <w:proofErr w:type="gramStart"/>
      <w:r w:rsidRPr="000F185D">
        <w:rPr>
          <w:sz w:val="18"/>
          <w:szCs w:val="18"/>
        </w:rPr>
        <w:t>In spite of the fact that</w:t>
      </w:r>
      <w:proofErr w:type="gramEnd"/>
      <w:r w:rsidRPr="000F185D">
        <w:rPr>
          <w:sz w:val="18"/>
          <w:szCs w:val="18"/>
        </w:rPr>
        <w:t xml:space="preserve"> the assets </w:t>
      </w:r>
      <w:r w:rsidRPr="000F185D">
        <w:rPr>
          <w:sz w:val="18"/>
          <w:szCs w:val="18"/>
          <w:lang w:val="en-US"/>
        </w:rPr>
        <w:t xml:space="preserve">are being offered </w:t>
      </w:r>
      <w:r>
        <w:rPr>
          <w:sz w:val="18"/>
          <w:szCs w:val="18"/>
          <w:lang w:val="en-US"/>
        </w:rPr>
        <w:t>for sale as two</w:t>
      </w:r>
      <w:r w:rsidRPr="000F185D">
        <w:rPr>
          <w:sz w:val="18"/>
          <w:szCs w:val="18"/>
          <w:lang w:val="en-US"/>
        </w:rPr>
        <w:t xml:space="preserve"> lots, it is mandatory to point out in commercial proposal offered price for every line in the lot. </w:t>
      </w:r>
      <w:proofErr w:type="gramStart"/>
      <w:r w:rsidRPr="000F185D">
        <w:rPr>
          <w:rStyle w:val="hps"/>
          <w:sz w:val="18"/>
          <w:szCs w:val="18"/>
        </w:rPr>
        <w:t>In the event that</w:t>
      </w:r>
      <w:proofErr w:type="gramEnd"/>
      <w:r w:rsidRPr="000F185D">
        <w:rPr>
          <w:rStyle w:val="longtext"/>
          <w:sz w:val="18"/>
          <w:szCs w:val="18"/>
        </w:rPr>
        <w:t xml:space="preserve"> unit </w:t>
      </w:r>
      <w:r w:rsidRPr="000F185D">
        <w:rPr>
          <w:rStyle w:val="hps"/>
          <w:sz w:val="18"/>
          <w:szCs w:val="18"/>
        </w:rPr>
        <w:t>quantities within the lot are changed, for any reason, by</w:t>
      </w:r>
      <w:r w:rsidRPr="000F185D">
        <w:rPr>
          <w:rStyle w:val="longtext"/>
          <w:sz w:val="18"/>
          <w:szCs w:val="18"/>
        </w:rPr>
        <w:t xml:space="preserve"> </w:t>
      </w:r>
      <w:r w:rsidRPr="000F185D">
        <w:rPr>
          <w:rStyle w:val="hps"/>
          <w:sz w:val="18"/>
          <w:szCs w:val="18"/>
        </w:rPr>
        <w:t>the time of sale</w:t>
      </w:r>
      <w:r w:rsidRPr="000F185D">
        <w:rPr>
          <w:rStyle w:val="longtext"/>
          <w:sz w:val="18"/>
          <w:szCs w:val="18"/>
        </w:rPr>
        <w:t xml:space="preserve">, the total price of </w:t>
      </w:r>
      <w:r w:rsidRPr="000F185D">
        <w:rPr>
          <w:rStyle w:val="hps"/>
          <w:sz w:val="18"/>
          <w:szCs w:val="18"/>
        </w:rPr>
        <w:t>the lot</w:t>
      </w:r>
      <w:r w:rsidRPr="000F185D">
        <w:rPr>
          <w:rStyle w:val="longtext"/>
          <w:sz w:val="18"/>
          <w:szCs w:val="18"/>
        </w:rPr>
        <w:t xml:space="preserve"> </w:t>
      </w:r>
      <w:r w:rsidRPr="000F185D">
        <w:rPr>
          <w:rStyle w:val="hps"/>
          <w:sz w:val="18"/>
          <w:szCs w:val="18"/>
        </w:rPr>
        <w:t>will be recalculated proportionally.</w:t>
      </w:r>
    </w:p>
    <w:p w:rsidR="00872F1A" w:rsidRPr="000F185D" w:rsidRDefault="00872F1A" w:rsidP="00872F1A">
      <w:pPr>
        <w:rPr>
          <w:sz w:val="18"/>
          <w:szCs w:val="18"/>
        </w:rPr>
      </w:pPr>
    </w:p>
    <w:p w:rsidR="00872F1A" w:rsidRPr="000F185D" w:rsidRDefault="00872F1A" w:rsidP="00872F1A">
      <w:pPr>
        <w:rPr>
          <w:sz w:val="18"/>
          <w:szCs w:val="18"/>
        </w:rPr>
      </w:pPr>
    </w:p>
    <w:p w:rsidR="008703E9" w:rsidRPr="00872F1A" w:rsidRDefault="008703E9" w:rsidP="00872F1A"/>
    <w:sectPr w:rsidR="008703E9" w:rsidRPr="00872F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24" w:rsidRDefault="00957824" w:rsidP="00EB57B6">
      <w:r>
        <w:separator/>
      </w:r>
    </w:p>
  </w:endnote>
  <w:endnote w:type="continuationSeparator" w:id="0">
    <w:p w:rsidR="00957824" w:rsidRDefault="00957824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C61D2D">
      <w:rPr>
        <w:b/>
        <w:sz w:val="18"/>
        <w:szCs w:val="18"/>
      </w:rPr>
      <w:t>1273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24" w:rsidRDefault="00957824" w:rsidP="00EB57B6">
      <w:r>
        <w:separator/>
      </w:r>
    </w:p>
  </w:footnote>
  <w:footnote w:type="continuationSeparator" w:id="0">
    <w:p w:rsidR="00957824" w:rsidRDefault="00957824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92CFE"/>
    <w:rsid w:val="000F1B85"/>
    <w:rsid w:val="00130B89"/>
    <w:rsid w:val="003C357F"/>
    <w:rsid w:val="00431261"/>
    <w:rsid w:val="00452B4C"/>
    <w:rsid w:val="004961C7"/>
    <w:rsid w:val="0058253E"/>
    <w:rsid w:val="00590CC0"/>
    <w:rsid w:val="00596F40"/>
    <w:rsid w:val="005C6FA7"/>
    <w:rsid w:val="00685B44"/>
    <w:rsid w:val="00770A25"/>
    <w:rsid w:val="007F7384"/>
    <w:rsid w:val="00854724"/>
    <w:rsid w:val="00862361"/>
    <w:rsid w:val="008703E9"/>
    <w:rsid w:val="00872F1A"/>
    <w:rsid w:val="00917994"/>
    <w:rsid w:val="00920F70"/>
    <w:rsid w:val="0092439E"/>
    <w:rsid w:val="00957824"/>
    <w:rsid w:val="009C2E2B"/>
    <w:rsid w:val="00A06761"/>
    <w:rsid w:val="00A236CB"/>
    <w:rsid w:val="00BB4BE7"/>
    <w:rsid w:val="00C42D31"/>
    <w:rsid w:val="00C61D2D"/>
    <w:rsid w:val="00C7349B"/>
    <w:rsid w:val="00C83991"/>
    <w:rsid w:val="00CE2018"/>
    <w:rsid w:val="00E157C3"/>
    <w:rsid w:val="00E421EC"/>
    <w:rsid w:val="00EB57B6"/>
    <w:rsid w:val="00EC3450"/>
    <w:rsid w:val="00F13FBE"/>
    <w:rsid w:val="00F146E4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FEAFD"/>
  <w15:docId w15:val="{00A1D84E-5B71-4B38-A93B-8D28C71F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1890</Characters>
  <Application>Microsoft Office Word</Application>
  <DocSecurity>0</DocSecurity>
  <Lines>15</Lines>
  <Paragraphs>4</Paragraphs>
  <ScaleCrop>false</ScaleCrop>
  <Company>Shell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21</cp:revision>
  <dcterms:created xsi:type="dcterms:W3CDTF">2017-01-18T23:18:00Z</dcterms:created>
  <dcterms:modified xsi:type="dcterms:W3CDTF">2019-03-11T07:37:00Z</dcterms:modified>
</cp:coreProperties>
</file>